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EA" w:rsidRPr="00AC465F" w:rsidRDefault="00D933EA">
      <w:pPr>
        <w:rPr>
          <w:i/>
          <w:lang w:val="es-ES"/>
        </w:rPr>
      </w:pPr>
      <w:r w:rsidRPr="00D44FAA">
        <w:rPr>
          <w:i/>
          <w:u w:val="single"/>
          <w:lang w:val="es-ES"/>
        </w:rPr>
        <w:t>Algunos temas posibles para el diseño del programa</w:t>
      </w:r>
      <w:r>
        <w:rPr>
          <w:i/>
          <w:lang w:val="es-ES"/>
        </w:rPr>
        <w:t>:</w:t>
      </w:r>
    </w:p>
    <w:p w:rsidR="00D933EA" w:rsidRDefault="00D933EA">
      <w:pPr>
        <w:rPr>
          <w:lang w:val="es-ES"/>
        </w:rPr>
      </w:pPr>
    </w:p>
    <w:p w:rsidR="00D933EA" w:rsidRDefault="00D933EA">
      <w:pPr>
        <w:rPr>
          <w:lang w:val="es-ES"/>
        </w:rPr>
      </w:pPr>
      <w:r>
        <w:rPr>
          <w:lang w:val="es-ES"/>
        </w:rPr>
        <w:t>Lineamientos generales de la justicia administrativa. Reforma constitucional 1994.</w:t>
      </w:r>
    </w:p>
    <w:p w:rsidR="00D933EA" w:rsidRDefault="00D933EA">
      <w:pPr>
        <w:rPr>
          <w:lang w:val="es-ES"/>
        </w:rPr>
      </w:pPr>
      <w:r>
        <w:rPr>
          <w:lang w:val="es-ES"/>
        </w:rPr>
        <w:t>El código Contencioso Administrativo. Ley 12.008 y sus reformas. Aplicación supletoria CPCC.</w:t>
      </w:r>
    </w:p>
    <w:p w:rsidR="00D933EA" w:rsidRDefault="00D933EA">
      <w:pPr>
        <w:rPr>
          <w:lang w:val="es-ES"/>
        </w:rPr>
      </w:pPr>
      <w:r>
        <w:rPr>
          <w:lang w:val="es-ES"/>
        </w:rPr>
        <w:t xml:space="preserve">Pretensiones </w:t>
      </w:r>
    </w:p>
    <w:p w:rsidR="00D933EA" w:rsidRDefault="00D933EA">
      <w:pPr>
        <w:rPr>
          <w:lang w:val="es-ES"/>
        </w:rPr>
      </w:pPr>
      <w:r>
        <w:rPr>
          <w:lang w:val="es-ES"/>
        </w:rPr>
        <w:t>Requisitos de admisibilidad</w:t>
      </w:r>
    </w:p>
    <w:p w:rsidR="00D933EA" w:rsidRDefault="00D933EA">
      <w:pPr>
        <w:rPr>
          <w:lang w:val="es-ES"/>
        </w:rPr>
      </w:pPr>
      <w:r>
        <w:rPr>
          <w:lang w:val="es-ES"/>
        </w:rPr>
        <w:t>La cuestión del agotamiento de la vía administrativa</w:t>
      </w:r>
    </w:p>
    <w:p w:rsidR="00D933EA" w:rsidRDefault="00D933EA">
      <w:pPr>
        <w:rPr>
          <w:lang w:val="es-ES"/>
        </w:rPr>
      </w:pPr>
      <w:r>
        <w:rPr>
          <w:lang w:val="es-ES"/>
        </w:rPr>
        <w:t>Competencia por materia y territorio</w:t>
      </w:r>
    </w:p>
    <w:p w:rsidR="00D933EA" w:rsidRDefault="00D933EA">
      <w:pPr>
        <w:rPr>
          <w:lang w:val="es-ES"/>
        </w:rPr>
      </w:pPr>
      <w:r>
        <w:rPr>
          <w:lang w:val="es-ES"/>
        </w:rPr>
        <w:t>Materias incluidas y excluidas</w:t>
      </w:r>
    </w:p>
    <w:p w:rsidR="00D933EA" w:rsidRDefault="00D933EA">
      <w:pPr>
        <w:rPr>
          <w:lang w:val="es-ES"/>
        </w:rPr>
      </w:pPr>
      <w:r>
        <w:rPr>
          <w:lang w:val="es-ES"/>
        </w:rPr>
        <w:t>Medidas cautelares</w:t>
      </w:r>
    </w:p>
    <w:p w:rsidR="00D933EA" w:rsidRDefault="00D933EA">
      <w:pPr>
        <w:rPr>
          <w:lang w:val="es-ES"/>
        </w:rPr>
      </w:pPr>
      <w:r>
        <w:rPr>
          <w:lang w:val="es-ES"/>
        </w:rPr>
        <w:t>Proceso ordinario y procesos especiales.</w:t>
      </w:r>
    </w:p>
    <w:p w:rsidR="00D933EA" w:rsidRDefault="00D933EA">
      <w:pPr>
        <w:rPr>
          <w:lang w:val="es-ES"/>
        </w:rPr>
      </w:pPr>
      <w:r>
        <w:rPr>
          <w:lang w:val="es-ES"/>
        </w:rPr>
        <w:t>Demanda. Contestación.</w:t>
      </w:r>
    </w:p>
    <w:p w:rsidR="00D933EA" w:rsidRDefault="00D933EA">
      <w:pPr>
        <w:rPr>
          <w:lang w:val="es-ES"/>
        </w:rPr>
      </w:pPr>
      <w:r>
        <w:rPr>
          <w:lang w:val="es-ES"/>
        </w:rPr>
        <w:t>Partes. Coadyuvantes y terceros.</w:t>
      </w:r>
    </w:p>
    <w:p w:rsidR="00D933EA" w:rsidRDefault="00D933EA">
      <w:pPr>
        <w:rPr>
          <w:lang w:val="es-ES"/>
        </w:rPr>
      </w:pPr>
      <w:r>
        <w:rPr>
          <w:lang w:val="es-ES"/>
        </w:rPr>
        <w:t>Prueba: audiencia art.41</w:t>
      </w:r>
    </w:p>
    <w:p w:rsidR="00D933EA" w:rsidRDefault="00D933EA">
      <w:pPr>
        <w:rPr>
          <w:lang w:val="es-ES"/>
        </w:rPr>
      </w:pPr>
      <w:r>
        <w:rPr>
          <w:lang w:val="es-ES"/>
        </w:rPr>
        <w:t xml:space="preserve">Sentencia. Modos anormales de terminación. </w:t>
      </w:r>
    </w:p>
    <w:p w:rsidR="00D933EA" w:rsidRDefault="00D933EA">
      <w:pPr>
        <w:rPr>
          <w:lang w:val="es-ES"/>
        </w:rPr>
      </w:pPr>
      <w:r>
        <w:rPr>
          <w:lang w:val="es-ES"/>
        </w:rPr>
        <w:t>Régimen de costas.</w:t>
      </w:r>
    </w:p>
    <w:p w:rsidR="00D933EA" w:rsidRPr="00A9780B" w:rsidRDefault="00D933EA">
      <w:pPr>
        <w:rPr>
          <w:lang w:val="es-ES"/>
        </w:rPr>
      </w:pPr>
      <w:r>
        <w:rPr>
          <w:lang w:val="es-ES"/>
        </w:rPr>
        <w:t xml:space="preserve">Recursos </w:t>
      </w:r>
    </w:p>
    <w:sectPr w:rsidR="00D933EA" w:rsidRPr="00A9780B" w:rsidSect="00CF44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80B"/>
    <w:rsid w:val="00182422"/>
    <w:rsid w:val="004D5F50"/>
    <w:rsid w:val="005E5E2D"/>
    <w:rsid w:val="006079AA"/>
    <w:rsid w:val="00A9780B"/>
    <w:rsid w:val="00AC465F"/>
    <w:rsid w:val="00CF44BB"/>
    <w:rsid w:val="00D44FAA"/>
    <w:rsid w:val="00D933EA"/>
    <w:rsid w:val="00FB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B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dc:description/>
  <cp:lastModifiedBy>Violeta</cp:lastModifiedBy>
  <cp:revision>4</cp:revision>
  <dcterms:created xsi:type="dcterms:W3CDTF">2015-03-04T22:31:00Z</dcterms:created>
  <dcterms:modified xsi:type="dcterms:W3CDTF">2015-03-13T02:42:00Z</dcterms:modified>
</cp:coreProperties>
</file>