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FF22A" w14:textId="40421A31" w:rsidR="007B3DE7" w:rsidRPr="007B3DE7" w:rsidRDefault="007B3DE7" w:rsidP="007B3DE7">
      <w:pPr>
        <w:rPr>
          <w:rFonts w:ascii="Times New Roman" w:hAnsi="Times New Roman" w:cs="Times New Roman"/>
          <w:b/>
          <w:bCs/>
          <w:sz w:val="24"/>
          <w:szCs w:val="24"/>
        </w:rPr>
      </w:pPr>
      <w:r w:rsidRPr="007B3DE7">
        <w:rPr>
          <w:rFonts w:ascii="Times New Roman" w:hAnsi="Times New Roman" w:cs="Times New Roman"/>
          <w:b/>
          <w:bCs/>
          <w:sz w:val="24"/>
          <w:szCs w:val="24"/>
        </w:rPr>
        <w:t>JURADO “40° Salón de Pintura” del Colegio de Abogados del Departamento Judicial de Mercedes</w:t>
      </w:r>
    </w:p>
    <w:p w14:paraId="1550AB9B" w14:textId="74897DD3" w:rsidR="007B3DE7" w:rsidRPr="007B3DE7" w:rsidRDefault="007B3DE7" w:rsidP="007B3DE7">
      <w:pPr>
        <w:rPr>
          <w:rFonts w:ascii="Times New Roman" w:hAnsi="Times New Roman" w:cs="Times New Roman"/>
          <w:b/>
          <w:bCs/>
          <w:sz w:val="24"/>
          <w:szCs w:val="24"/>
        </w:rPr>
      </w:pPr>
      <w:r w:rsidRPr="007B3DE7">
        <w:rPr>
          <w:rFonts w:ascii="Times New Roman" w:hAnsi="Times New Roman" w:cs="Times New Roman"/>
          <w:b/>
          <w:bCs/>
          <w:sz w:val="24"/>
          <w:szCs w:val="24"/>
        </w:rPr>
        <w:t>2025</w:t>
      </w:r>
    </w:p>
    <w:p w14:paraId="5A2DBB1B" w14:textId="77777777" w:rsidR="007B3DE7" w:rsidRPr="007B3DE7" w:rsidRDefault="007B3DE7" w:rsidP="007B3DE7">
      <w:pPr>
        <w:rPr>
          <w:rFonts w:ascii="Times New Roman" w:hAnsi="Times New Roman" w:cs="Times New Roman"/>
          <w:b/>
          <w:bCs/>
          <w:sz w:val="24"/>
          <w:szCs w:val="24"/>
        </w:rPr>
      </w:pPr>
    </w:p>
    <w:p w14:paraId="74A4CDCC" w14:textId="276FDEC4"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b/>
          <w:bCs/>
          <w:sz w:val="24"/>
          <w:szCs w:val="24"/>
        </w:rPr>
        <w:t>*</w:t>
      </w:r>
      <w:r w:rsidRPr="007B3DE7">
        <w:rPr>
          <w:rFonts w:ascii="Times New Roman" w:hAnsi="Times New Roman" w:cs="Times New Roman"/>
          <w:b/>
          <w:bCs/>
          <w:sz w:val="24"/>
          <w:szCs w:val="24"/>
        </w:rPr>
        <w:t xml:space="preserve">Ana </w:t>
      </w:r>
      <w:proofErr w:type="spellStart"/>
      <w:r w:rsidRPr="007B3DE7">
        <w:rPr>
          <w:rFonts w:ascii="Times New Roman" w:hAnsi="Times New Roman" w:cs="Times New Roman"/>
          <w:b/>
          <w:bCs/>
          <w:sz w:val="24"/>
          <w:szCs w:val="24"/>
        </w:rPr>
        <w:t>Aldaburu</w:t>
      </w:r>
      <w:proofErr w:type="spellEnd"/>
    </w:p>
    <w:p w14:paraId="7177F50E" w14:textId="7777777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sz w:val="24"/>
          <w:szCs w:val="24"/>
        </w:rPr>
        <w:t xml:space="preserve">Nació en Mercedes, provincia de Buenos Aires en 1949. Inició estudios de arte en su ciudad natal, cursando posteriormente Historia del Arte en Buenos Aires, Filosofía en la Universidad de Buenos Aires, dibujo y pintura con Juan López </w:t>
      </w:r>
      <w:proofErr w:type="spellStart"/>
      <w:r w:rsidRPr="007B3DE7">
        <w:rPr>
          <w:rFonts w:ascii="Times New Roman" w:hAnsi="Times New Roman" w:cs="Times New Roman"/>
          <w:sz w:val="24"/>
          <w:szCs w:val="24"/>
        </w:rPr>
        <w:t>Taetzel</w:t>
      </w:r>
      <w:proofErr w:type="spellEnd"/>
      <w:r w:rsidRPr="007B3DE7">
        <w:rPr>
          <w:rFonts w:ascii="Times New Roman" w:hAnsi="Times New Roman" w:cs="Times New Roman"/>
          <w:sz w:val="24"/>
          <w:szCs w:val="24"/>
        </w:rPr>
        <w:t xml:space="preserve">, Enrique Azcárate, Néstor Cruz y Roberto Páez, escultura con Aurelio Macchi, Margarita </w:t>
      </w:r>
      <w:proofErr w:type="spellStart"/>
      <w:r w:rsidRPr="007B3DE7">
        <w:rPr>
          <w:rFonts w:ascii="Times New Roman" w:hAnsi="Times New Roman" w:cs="Times New Roman"/>
          <w:sz w:val="24"/>
          <w:szCs w:val="24"/>
        </w:rPr>
        <w:t>Paksa</w:t>
      </w:r>
      <w:proofErr w:type="spellEnd"/>
      <w:r w:rsidRPr="007B3DE7">
        <w:rPr>
          <w:rFonts w:ascii="Times New Roman" w:hAnsi="Times New Roman" w:cs="Times New Roman"/>
          <w:sz w:val="24"/>
          <w:szCs w:val="24"/>
        </w:rPr>
        <w:t xml:space="preserve"> y en la Universidad del Salvador. Investigadora en historia y filosofía del arte, en el Museo de Arte Contemporáneo de Buenos Aires. Expuso en forma individual en Argentina, España, Alemania, Austria, Museo Municipal de Bellas Artes Eduardo </w:t>
      </w:r>
      <w:proofErr w:type="spellStart"/>
      <w:r w:rsidRPr="007B3DE7">
        <w:rPr>
          <w:rFonts w:ascii="Times New Roman" w:hAnsi="Times New Roman" w:cs="Times New Roman"/>
          <w:sz w:val="24"/>
          <w:szCs w:val="24"/>
        </w:rPr>
        <w:t>Sivori</w:t>
      </w:r>
      <w:proofErr w:type="spellEnd"/>
      <w:r w:rsidRPr="007B3DE7">
        <w:rPr>
          <w:rFonts w:ascii="Times New Roman" w:hAnsi="Times New Roman" w:cs="Times New Roman"/>
          <w:sz w:val="24"/>
          <w:szCs w:val="24"/>
        </w:rPr>
        <w:t xml:space="preserve">, Galería San Isidro, Galería Cromática, Museo de Arte Moderno de Buenos Aires, Maple, en la Casa de la Cultura Vasca de Buenos Aires, Museo de Arte Español Enrique Larreta. Galería Araba de Vitoria, España y </w:t>
      </w:r>
      <w:proofErr w:type="spellStart"/>
      <w:r w:rsidRPr="007B3DE7">
        <w:rPr>
          <w:rFonts w:ascii="Times New Roman" w:hAnsi="Times New Roman" w:cs="Times New Roman"/>
          <w:sz w:val="24"/>
          <w:szCs w:val="24"/>
        </w:rPr>
        <w:t>Galerie</w:t>
      </w:r>
      <w:proofErr w:type="spellEnd"/>
      <w:r w:rsidRPr="007B3DE7">
        <w:rPr>
          <w:rFonts w:ascii="Times New Roman" w:hAnsi="Times New Roman" w:cs="Times New Roman"/>
          <w:sz w:val="24"/>
          <w:szCs w:val="24"/>
        </w:rPr>
        <w:t xml:space="preserve"> Ariadne de Viena, Austria. Paisajista y cultora de la figura humana de fuerte colorido, pintora de personalidad acusada y atmósferas oníricas. (</w:t>
      </w:r>
      <w:hyperlink r:id="rId4" w:history="1">
        <w:r w:rsidRPr="007B3DE7">
          <w:rPr>
            <w:rStyle w:val="Hipervnculo"/>
            <w:rFonts w:ascii="Times New Roman" w:hAnsi="Times New Roman" w:cs="Times New Roman"/>
            <w:sz w:val="24"/>
            <w:szCs w:val="24"/>
          </w:rPr>
          <w:t>http://andresare.eusko-ikaskuntza.org/index.php/es/recursos-documentales/biografia/aldaburu-echaguibel-ana</w:t>
        </w:r>
      </w:hyperlink>
      <w:r w:rsidRPr="007B3DE7">
        <w:rPr>
          <w:rFonts w:ascii="Times New Roman" w:hAnsi="Times New Roman" w:cs="Times New Roman"/>
          <w:sz w:val="24"/>
          <w:szCs w:val="24"/>
        </w:rPr>
        <w:t>).</w:t>
      </w:r>
    </w:p>
    <w:p w14:paraId="699CE872" w14:textId="77777777" w:rsidR="007B3DE7" w:rsidRPr="007B3DE7" w:rsidRDefault="007B3DE7" w:rsidP="007B3DE7">
      <w:pPr>
        <w:rPr>
          <w:rFonts w:ascii="Times New Roman" w:hAnsi="Times New Roman" w:cs="Times New Roman"/>
          <w:sz w:val="24"/>
          <w:szCs w:val="24"/>
        </w:rPr>
      </w:pPr>
    </w:p>
    <w:p w14:paraId="2201144C" w14:textId="438E5E3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b/>
          <w:bCs/>
          <w:sz w:val="24"/>
          <w:szCs w:val="24"/>
        </w:rPr>
        <w:t>*</w:t>
      </w:r>
      <w:r w:rsidRPr="007B3DE7">
        <w:rPr>
          <w:rFonts w:ascii="Times New Roman" w:hAnsi="Times New Roman" w:cs="Times New Roman"/>
          <w:b/>
          <w:bCs/>
          <w:sz w:val="24"/>
          <w:szCs w:val="24"/>
        </w:rPr>
        <w:t>Emilio Reato</w:t>
      </w:r>
    </w:p>
    <w:p w14:paraId="1E7464FA" w14:textId="7777777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sz w:val="24"/>
          <w:szCs w:val="24"/>
        </w:rPr>
        <w:t>(San Antonio de Padua, 1962) es un artista visual argentino. De reconocida trayectoria, realizó numerosas exposiciones en galerías y museos del país y del extranjero y recibió más de sesenta premios, entre los que se destaca el Gran Premio de Honor del Salón Nacional en Dibujo (2016).</w:t>
      </w:r>
    </w:p>
    <w:p w14:paraId="72529B97" w14:textId="7777777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sz w:val="24"/>
          <w:szCs w:val="24"/>
        </w:rPr>
        <w:t xml:space="preserve">Estudió en la Escuela de Artes Visuales de Luján, realizó talleres con Claudio </w:t>
      </w:r>
      <w:proofErr w:type="spellStart"/>
      <w:r w:rsidRPr="007B3DE7">
        <w:rPr>
          <w:rFonts w:ascii="Times New Roman" w:hAnsi="Times New Roman" w:cs="Times New Roman"/>
          <w:sz w:val="24"/>
          <w:szCs w:val="24"/>
        </w:rPr>
        <w:t>Caveri</w:t>
      </w:r>
      <w:proofErr w:type="spellEnd"/>
      <w:r w:rsidRPr="007B3DE7">
        <w:rPr>
          <w:rFonts w:ascii="Times New Roman" w:hAnsi="Times New Roman" w:cs="Times New Roman"/>
          <w:sz w:val="24"/>
          <w:szCs w:val="24"/>
        </w:rPr>
        <w:t>, Pipo Ferrari y Roberto Páez, y fue becado en la Clínica de Artes Visuales del Centro Cultural Rojas. Su imaginario se formó también con los cielos extensos de la pampa bonaerense, la enciclopedia estudiantil, las estampillas que traían noticias de la familia italiana, la imaginería de santos de la iglesia de San Antonio, los planos de muebles de su padre carpintero y los planos técnicos de la escuela industrial.</w:t>
      </w:r>
    </w:p>
    <w:p w14:paraId="6627E8B6" w14:textId="7777777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sz w:val="24"/>
          <w:szCs w:val="24"/>
        </w:rPr>
        <w:t>En su obra el juego de la luz y de la sombra se vuelve una búsqueda constante. Su universo visual, en el que muchas veces asoma un humor irónico, cita también elementos de la gráfica, las animaciones, el arte de masas y el arte contemporáneo.</w:t>
      </w:r>
    </w:p>
    <w:p w14:paraId="24178DDF" w14:textId="7777777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sz w:val="24"/>
          <w:szCs w:val="24"/>
        </w:rPr>
        <w:t>Paralelamente al desarrollo de su obra individual, ejerció la docencia de arte en todos los niveles y fue director de la Escuela de Estética de Merlo. El trabajo colectivo también es una constante en su carrera. Integró varios equipos muralistas y actualmente dirige el colectivo de arte contemporáneo Constructores de Fuego.</w:t>
      </w:r>
    </w:p>
    <w:p w14:paraId="36AA723D" w14:textId="7777777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sz w:val="24"/>
          <w:szCs w:val="24"/>
        </w:rPr>
        <w:t>Las obras de Emilio Reato se encuentran en numerosas colecciones públicas y privadas de la Argentina y el extranjero.</w:t>
      </w:r>
    </w:p>
    <w:p w14:paraId="5CCF030D" w14:textId="77777777" w:rsidR="007B3DE7" w:rsidRPr="007B3DE7" w:rsidRDefault="007B3DE7" w:rsidP="007B3DE7">
      <w:pPr>
        <w:rPr>
          <w:rFonts w:ascii="Times New Roman" w:hAnsi="Times New Roman" w:cs="Times New Roman"/>
          <w:sz w:val="24"/>
          <w:szCs w:val="24"/>
        </w:rPr>
      </w:pPr>
    </w:p>
    <w:p w14:paraId="170009A5" w14:textId="77777777" w:rsidR="007B3DE7" w:rsidRPr="007B3DE7" w:rsidRDefault="007B3DE7" w:rsidP="007B3DE7">
      <w:pPr>
        <w:rPr>
          <w:rFonts w:ascii="Times New Roman" w:hAnsi="Times New Roman" w:cs="Times New Roman"/>
          <w:sz w:val="24"/>
          <w:szCs w:val="24"/>
        </w:rPr>
      </w:pPr>
    </w:p>
    <w:p w14:paraId="43ED59EA" w14:textId="777EBF8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b/>
          <w:bCs/>
          <w:sz w:val="24"/>
          <w:szCs w:val="24"/>
        </w:rPr>
        <w:t>*</w:t>
      </w:r>
      <w:r w:rsidRPr="007B3DE7">
        <w:rPr>
          <w:rFonts w:ascii="Times New Roman" w:hAnsi="Times New Roman" w:cs="Times New Roman"/>
          <w:b/>
          <w:bCs/>
          <w:sz w:val="24"/>
          <w:szCs w:val="24"/>
        </w:rPr>
        <w:t xml:space="preserve">Germán </w:t>
      </w:r>
      <w:proofErr w:type="spellStart"/>
      <w:r w:rsidRPr="007B3DE7">
        <w:rPr>
          <w:rFonts w:ascii="Times New Roman" w:hAnsi="Times New Roman" w:cs="Times New Roman"/>
          <w:b/>
          <w:bCs/>
          <w:sz w:val="24"/>
          <w:szCs w:val="24"/>
        </w:rPr>
        <w:t>Gárgano</w:t>
      </w:r>
      <w:proofErr w:type="spellEnd"/>
    </w:p>
    <w:p w14:paraId="039F31FD" w14:textId="7777777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sz w:val="24"/>
          <w:szCs w:val="24"/>
        </w:rPr>
        <w:t>Expone desde 1984. Loreto Arenas, de intensa actividad con pintores de los ’80, se ocupa con especial dedicación de su obra, y luego organiza con Margarita Crawford su primera exposición individual en la Galería Arenas-Crawford (1989).</w:t>
      </w:r>
    </w:p>
    <w:p w14:paraId="0D4D716F" w14:textId="7777777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sz w:val="24"/>
          <w:szCs w:val="24"/>
        </w:rPr>
        <w:t>En 1986 obtiene el </w:t>
      </w:r>
      <w:r w:rsidRPr="007B3DE7">
        <w:rPr>
          <w:rFonts w:ascii="Times New Roman" w:hAnsi="Times New Roman" w:cs="Times New Roman"/>
          <w:i/>
          <w:iCs/>
          <w:sz w:val="24"/>
          <w:szCs w:val="24"/>
          <w:u w:val="single"/>
        </w:rPr>
        <w:t>1er. Premio de Pintura de la Ciudad Autónoma de Bs. As</w:t>
      </w:r>
      <w:r w:rsidRPr="007B3DE7">
        <w:rPr>
          <w:rFonts w:ascii="Times New Roman" w:hAnsi="Times New Roman" w:cs="Times New Roman"/>
          <w:sz w:val="24"/>
          <w:szCs w:val="24"/>
        </w:rPr>
        <w:t>; en 1995 y en 1997 el Primer Premio del Salón Nacional del Mar (Mar del Plata).</w:t>
      </w:r>
    </w:p>
    <w:p w14:paraId="6F055D7A" w14:textId="7777777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sz w:val="24"/>
          <w:szCs w:val="24"/>
        </w:rPr>
        <w:t>En 2002 recibe el </w:t>
      </w:r>
      <w:r w:rsidRPr="007B3DE7">
        <w:rPr>
          <w:rFonts w:ascii="Times New Roman" w:hAnsi="Times New Roman" w:cs="Times New Roman"/>
          <w:i/>
          <w:iCs/>
          <w:sz w:val="24"/>
          <w:szCs w:val="24"/>
          <w:u w:val="single"/>
        </w:rPr>
        <w:t>3er. Premio Nacional de Pintura</w:t>
      </w:r>
      <w:r w:rsidRPr="007B3DE7">
        <w:rPr>
          <w:rFonts w:ascii="Times New Roman" w:hAnsi="Times New Roman" w:cs="Times New Roman"/>
          <w:sz w:val="24"/>
          <w:szCs w:val="24"/>
        </w:rPr>
        <w:t>, y en 2014 el </w:t>
      </w:r>
      <w:r w:rsidRPr="007B3DE7">
        <w:rPr>
          <w:rFonts w:ascii="Times New Roman" w:hAnsi="Times New Roman" w:cs="Times New Roman"/>
          <w:i/>
          <w:iCs/>
          <w:sz w:val="24"/>
          <w:szCs w:val="24"/>
          <w:u w:val="single"/>
        </w:rPr>
        <w:t>1er.Premio Nacional de Pintura</w:t>
      </w:r>
      <w:r w:rsidRPr="007B3DE7">
        <w:rPr>
          <w:rFonts w:ascii="Times New Roman" w:hAnsi="Times New Roman" w:cs="Times New Roman"/>
          <w:sz w:val="24"/>
          <w:szCs w:val="24"/>
        </w:rPr>
        <w:t>.</w:t>
      </w:r>
    </w:p>
    <w:p w14:paraId="3BE00D54" w14:textId="7777777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sz w:val="24"/>
          <w:szCs w:val="24"/>
        </w:rPr>
        <w:t>Entre 1991 y 2004 expone en el exterior en la </w:t>
      </w:r>
      <w:r w:rsidRPr="007B3DE7">
        <w:rPr>
          <w:rFonts w:ascii="Times New Roman" w:hAnsi="Times New Roman" w:cs="Times New Roman"/>
          <w:i/>
          <w:iCs/>
          <w:sz w:val="24"/>
          <w:szCs w:val="24"/>
          <w:u w:val="single"/>
        </w:rPr>
        <w:t xml:space="preserve">CDS </w:t>
      </w:r>
      <w:proofErr w:type="spellStart"/>
      <w:r w:rsidRPr="007B3DE7">
        <w:rPr>
          <w:rFonts w:ascii="Times New Roman" w:hAnsi="Times New Roman" w:cs="Times New Roman"/>
          <w:i/>
          <w:iCs/>
          <w:sz w:val="24"/>
          <w:szCs w:val="24"/>
          <w:u w:val="single"/>
        </w:rPr>
        <w:t>Gallery</w:t>
      </w:r>
      <w:proofErr w:type="spellEnd"/>
      <w:r w:rsidRPr="007B3DE7">
        <w:rPr>
          <w:rFonts w:ascii="Times New Roman" w:hAnsi="Times New Roman" w:cs="Times New Roman"/>
          <w:i/>
          <w:iCs/>
          <w:sz w:val="24"/>
          <w:szCs w:val="24"/>
          <w:u w:val="single"/>
        </w:rPr>
        <w:t xml:space="preserve"> de Nueva York, EE. UU</w:t>
      </w:r>
      <w:r w:rsidRPr="007B3DE7">
        <w:rPr>
          <w:rFonts w:ascii="Times New Roman" w:hAnsi="Times New Roman" w:cs="Times New Roman"/>
          <w:sz w:val="24"/>
          <w:szCs w:val="24"/>
        </w:rPr>
        <w:t xml:space="preserve">., dirigida por Clara </w:t>
      </w:r>
      <w:proofErr w:type="spellStart"/>
      <w:r w:rsidRPr="007B3DE7">
        <w:rPr>
          <w:rFonts w:ascii="Times New Roman" w:hAnsi="Times New Roman" w:cs="Times New Roman"/>
          <w:sz w:val="24"/>
          <w:szCs w:val="24"/>
        </w:rPr>
        <w:t>Diament</w:t>
      </w:r>
      <w:proofErr w:type="spellEnd"/>
      <w:r w:rsidRPr="007B3DE7">
        <w:rPr>
          <w:rFonts w:ascii="Times New Roman" w:hAnsi="Times New Roman" w:cs="Times New Roman"/>
          <w:sz w:val="24"/>
          <w:szCs w:val="24"/>
        </w:rPr>
        <w:t xml:space="preserve"> Sujo.</w:t>
      </w:r>
      <w:hyperlink r:id="rId5" w:history="1">
        <w:r w:rsidRPr="007B3DE7">
          <w:rPr>
            <w:rStyle w:val="Hipervnculo"/>
            <w:rFonts w:ascii="Times New Roman" w:hAnsi="Times New Roman" w:cs="Times New Roman"/>
            <w:sz w:val="24"/>
            <w:szCs w:val="24"/>
          </w:rPr>
          <w:t>[1]</w:t>
        </w:r>
      </w:hyperlink>
      <w:r w:rsidRPr="007B3DE7">
        <w:rPr>
          <w:rFonts w:ascii="Times New Roman" w:hAnsi="Times New Roman" w:cs="Times New Roman"/>
          <w:sz w:val="24"/>
          <w:szCs w:val="24"/>
        </w:rPr>
        <w:t>.</w:t>
      </w:r>
    </w:p>
    <w:p w14:paraId="1D6C1AAC" w14:textId="7777777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sz w:val="24"/>
          <w:szCs w:val="24"/>
        </w:rPr>
        <w:t>En 1991 recibe la prestigiosa </w:t>
      </w:r>
      <w:r w:rsidRPr="007B3DE7">
        <w:rPr>
          <w:rFonts w:ascii="Times New Roman" w:hAnsi="Times New Roman" w:cs="Times New Roman"/>
          <w:i/>
          <w:iCs/>
          <w:sz w:val="24"/>
          <w:szCs w:val="24"/>
          <w:u w:val="single"/>
        </w:rPr>
        <w:t>Beca de la Fundación Pollock-</w:t>
      </w:r>
      <w:proofErr w:type="spellStart"/>
      <w:r w:rsidRPr="007B3DE7">
        <w:rPr>
          <w:rFonts w:ascii="Times New Roman" w:hAnsi="Times New Roman" w:cs="Times New Roman"/>
          <w:i/>
          <w:iCs/>
          <w:sz w:val="24"/>
          <w:szCs w:val="24"/>
          <w:u w:val="single"/>
        </w:rPr>
        <w:t>Krassner</w:t>
      </w:r>
      <w:proofErr w:type="spellEnd"/>
      <w:r w:rsidRPr="007B3DE7">
        <w:rPr>
          <w:rFonts w:ascii="Times New Roman" w:hAnsi="Times New Roman" w:cs="Times New Roman"/>
          <w:i/>
          <w:iCs/>
          <w:sz w:val="24"/>
          <w:szCs w:val="24"/>
          <w:u w:val="single"/>
        </w:rPr>
        <w:t xml:space="preserve"> (N. York, EE. UU.)</w:t>
      </w:r>
      <w:r w:rsidRPr="007B3DE7">
        <w:rPr>
          <w:rFonts w:ascii="Times New Roman" w:hAnsi="Times New Roman" w:cs="Times New Roman"/>
          <w:sz w:val="24"/>
          <w:szCs w:val="24"/>
        </w:rPr>
        <w:t>. En el 2011 dos de sus obras ingresan a la colección del </w:t>
      </w:r>
      <w:r w:rsidRPr="007B3DE7">
        <w:rPr>
          <w:rFonts w:ascii="Times New Roman" w:hAnsi="Times New Roman" w:cs="Times New Roman"/>
          <w:i/>
          <w:iCs/>
          <w:sz w:val="24"/>
          <w:szCs w:val="24"/>
          <w:u w:val="single"/>
        </w:rPr>
        <w:t xml:space="preserve">Flint </w:t>
      </w:r>
      <w:proofErr w:type="spellStart"/>
      <w:r w:rsidRPr="007B3DE7">
        <w:rPr>
          <w:rFonts w:ascii="Times New Roman" w:hAnsi="Times New Roman" w:cs="Times New Roman"/>
          <w:i/>
          <w:iCs/>
          <w:sz w:val="24"/>
          <w:szCs w:val="24"/>
          <w:u w:val="single"/>
        </w:rPr>
        <w:t>Institute</w:t>
      </w:r>
      <w:proofErr w:type="spellEnd"/>
      <w:r w:rsidRPr="007B3DE7">
        <w:rPr>
          <w:rFonts w:ascii="Times New Roman" w:hAnsi="Times New Roman" w:cs="Times New Roman"/>
          <w:i/>
          <w:iCs/>
          <w:sz w:val="24"/>
          <w:szCs w:val="24"/>
          <w:u w:val="single"/>
        </w:rPr>
        <w:t xml:space="preserve"> </w:t>
      </w:r>
      <w:proofErr w:type="spellStart"/>
      <w:r w:rsidRPr="007B3DE7">
        <w:rPr>
          <w:rFonts w:ascii="Times New Roman" w:hAnsi="Times New Roman" w:cs="Times New Roman"/>
          <w:i/>
          <w:iCs/>
          <w:sz w:val="24"/>
          <w:szCs w:val="24"/>
          <w:u w:val="single"/>
        </w:rPr>
        <w:t>of</w:t>
      </w:r>
      <w:proofErr w:type="spellEnd"/>
      <w:r w:rsidRPr="007B3DE7">
        <w:rPr>
          <w:rFonts w:ascii="Times New Roman" w:hAnsi="Times New Roman" w:cs="Times New Roman"/>
          <w:i/>
          <w:iCs/>
          <w:sz w:val="24"/>
          <w:szCs w:val="24"/>
          <w:u w:val="single"/>
        </w:rPr>
        <w:t xml:space="preserve"> </w:t>
      </w:r>
      <w:proofErr w:type="spellStart"/>
      <w:r w:rsidRPr="007B3DE7">
        <w:rPr>
          <w:rFonts w:ascii="Times New Roman" w:hAnsi="Times New Roman" w:cs="Times New Roman"/>
          <w:i/>
          <w:iCs/>
          <w:sz w:val="24"/>
          <w:szCs w:val="24"/>
          <w:u w:val="single"/>
        </w:rPr>
        <w:t>Arts</w:t>
      </w:r>
      <w:proofErr w:type="spellEnd"/>
      <w:r w:rsidRPr="007B3DE7">
        <w:rPr>
          <w:rFonts w:ascii="Times New Roman" w:hAnsi="Times New Roman" w:cs="Times New Roman"/>
          <w:i/>
          <w:iCs/>
          <w:sz w:val="24"/>
          <w:szCs w:val="24"/>
          <w:u w:val="single"/>
        </w:rPr>
        <w:t xml:space="preserve"> (Míchigan, EE. UU.)</w:t>
      </w:r>
      <w:r w:rsidRPr="007B3DE7">
        <w:rPr>
          <w:rFonts w:ascii="Times New Roman" w:hAnsi="Times New Roman" w:cs="Times New Roman"/>
          <w:sz w:val="24"/>
          <w:szCs w:val="24"/>
        </w:rPr>
        <w:t>.</w:t>
      </w:r>
    </w:p>
    <w:p w14:paraId="5747F314" w14:textId="7777777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sz w:val="24"/>
          <w:szCs w:val="24"/>
        </w:rPr>
        <w:t>En noviembre de 1991 el Museo Nacional de Bellas Artes, adquiere para su colección, su obra «El Réquiem» (acrílico s/tela, 1,</w:t>
      </w:r>
      <w:proofErr w:type="gramStart"/>
      <w:r w:rsidRPr="007B3DE7">
        <w:rPr>
          <w:rFonts w:ascii="Times New Roman" w:hAnsi="Times New Roman" w:cs="Times New Roman"/>
          <w:sz w:val="24"/>
          <w:szCs w:val="24"/>
        </w:rPr>
        <w:t>80  m</w:t>
      </w:r>
      <w:proofErr w:type="gramEnd"/>
      <w:r w:rsidRPr="007B3DE7">
        <w:rPr>
          <w:rFonts w:ascii="Times New Roman" w:hAnsi="Times New Roman" w:cs="Times New Roman"/>
          <w:sz w:val="24"/>
          <w:szCs w:val="24"/>
        </w:rPr>
        <w:t xml:space="preserve"> x 2 m). En 1993 se instala un amplio </w:t>
      </w:r>
      <w:r w:rsidRPr="007B3DE7">
        <w:rPr>
          <w:rFonts w:ascii="Times New Roman" w:hAnsi="Times New Roman" w:cs="Times New Roman"/>
          <w:i/>
          <w:iCs/>
          <w:sz w:val="24"/>
          <w:szCs w:val="24"/>
          <w:u w:val="single"/>
        </w:rPr>
        <w:t>Mural Cerámico (120 cm × 500 cm) «Santuario»</w:t>
      </w:r>
      <w:r w:rsidRPr="007B3DE7">
        <w:rPr>
          <w:rFonts w:ascii="Times New Roman" w:hAnsi="Times New Roman" w:cs="Times New Roman"/>
          <w:sz w:val="24"/>
          <w:szCs w:val="24"/>
        </w:rPr>
        <w:t>, en la estación Pueyrredón de Subterráneo (línea «B») de Bs. As. En 2013 realiza otro importante mural (en conjunto con V. Quiroga, Fernández Espinosa y L. Abraham), </w:t>
      </w:r>
      <w:r w:rsidRPr="007B3DE7">
        <w:rPr>
          <w:rFonts w:ascii="Times New Roman" w:hAnsi="Times New Roman" w:cs="Times New Roman"/>
          <w:i/>
          <w:iCs/>
          <w:sz w:val="24"/>
          <w:szCs w:val="24"/>
          <w:u w:val="single"/>
        </w:rPr>
        <w:t>«Homenaje a Chacho Peñaloza» (200 cm x 800 cm)</w:t>
      </w:r>
      <w:r w:rsidRPr="007B3DE7">
        <w:rPr>
          <w:rFonts w:ascii="Times New Roman" w:hAnsi="Times New Roman" w:cs="Times New Roman"/>
          <w:sz w:val="24"/>
          <w:szCs w:val="24"/>
        </w:rPr>
        <w:t>, para la ciudad de La Rioja.</w:t>
      </w:r>
      <w:hyperlink r:id="rId6" w:history="1">
        <w:r w:rsidRPr="007B3DE7">
          <w:rPr>
            <w:rStyle w:val="Hipervnculo"/>
            <w:rFonts w:ascii="Times New Roman" w:hAnsi="Times New Roman" w:cs="Times New Roman"/>
            <w:sz w:val="24"/>
            <w:szCs w:val="24"/>
          </w:rPr>
          <w:t>[2]</w:t>
        </w:r>
      </w:hyperlink>
      <w:r w:rsidRPr="007B3DE7">
        <w:rPr>
          <w:rFonts w:ascii="Times New Roman" w:hAnsi="Times New Roman" w:cs="Times New Roman"/>
          <w:sz w:val="24"/>
          <w:szCs w:val="24"/>
        </w:rPr>
        <w:t>.</w:t>
      </w:r>
    </w:p>
    <w:p w14:paraId="7E4521C0" w14:textId="7777777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sz w:val="24"/>
          <w:szCs w:val="24"/>
        </w:rPr>
        <w:t xml:space="preserve">Se han publicado textos sobre su obra y exposiciones en distintos medios nacionales. La revista Art in American pública un artículo de Ed Shaw sobre su obra (EE, UU., mayo de 1994) y </w:t>
      </w:r>
      <w:proofErr w:type="spellStart"/>
      <w:r w:rsidRPr="007B3DE7">
        <w:rPr>
          <w:rFonts w:ascii="Times New Roman" w:hAnsi="Times New Roman" w:cs="Times New Roman"/>
          <w:sz w:val="24"/>
          <w:szCs w:val="24"/>
        </w:rPr>
        <w:t>The</w:t>
      </w:r>
      <w:proofErr w:type="spellEnd"/>
      <w:r w:rsidRPr="007B3DE7">
        <w:rPr>
          <w:rFonts w:ascii="Times New Roman" w:hAnsi="Times New Roman" w:cs="Times New Roman"/>
          <w:sz w:val="24"/>
          <w:szCs w:val="24"/>
        </w:rPr>
        <w:t xml:space="preserve"> </w:t>
      </w:r>
      <w:proofErr w:type="spellStart"/>
      <w:r w:rsidRPr="007B3DE7">
        <w:rPr>
          <w:rFonts w:ascii="Times New Roman" w:hAnsi="Times New Roman" w:cs="Times New Roman"/>
          <w:sz w:val="24"/>
          <w:szCs w:val="24"/>
        </w:rPr>
        <w:t>Associated</w:t>
      </w:r>
      <w:proofErr w:type="spellEnd"/>
      <w:r w:rsidRPr="007B3DE7">
        <w:rPr>
          <w:rFonts w:ascii="Times New Roman" w:hAnsi="Times New Roman" w:cs="Times New Roman"/>
          <w:sz w:val="24"/>
          <w:szCs w:val="24"/>
        </w:rPr>
        <w:t xml:space="preserve"> </w:t>
      </w:r>
      <w:proofErr w:type="spellStart"/>
      <w:r w:rsidRPr="007B3DE7">
        <w:rPr>
          <w:rFonts w:ascii="Times New Roman" w:hAnsi="Times New Roman" w:cs="Times New Roman"/>
          <w:sz w:val="24"/>
          <w:szCs w:val="24"/>
        </w:rPr>
        <w:t>Press</w:t>
      </w:r>
      <w:proofErr w:type="spellEnd"/>
      <w:r w:rsidRPr="007B3DE7">
        <w:rPr>
          <w:rFonts w:ascii="Times New Roman" w:hAnsi="Times New Roman" w:cs="Times New Roman"/>
          <w:sz w:val="24"/>
          <w:szCs w:val="24"/>
        </w:rPr>
        <w:t xml:space="preserve"> realiza una extensa nota («</w:t>
      </w:r>
      <w:proofErr w:type="spellStart"/>
      <w:r w:rsidRPr="007B3DE7">
        <w:rPr>
          <w:rFonts w:ascii="Times New Roman" w:hAnsi="Times New Roman" w:cs="Times New Roman"/>
          <w:sz w:val="24"/>
          <w:szCs w:val="24"/>
        </w:rPr>
        <w:t>Images</w:t>
      </w:r>
      <w:proofErr w:type="spellEnd"/>
      <w:r w:rsidRPr="007B3DE7">
        <w:rPr>
          <w:rFonts w:ascii="Times New Roman" w:hAnsi="Times New Roman" w:cs="Times New Roman"/>
          <w:sz w:val="24"/>
          <w:szCs w:val="24"/>
        </w:rPr>
        <w:t xml:space="preserve"> </w:t>
      </w:r>
      <w:proofErr w:type="spellStart"/>
      <w:r w:rsidRPr="007B3DE7">
        <w:rPr>
          <w:rFonts w:ascii="Times New Roman" w:hAnsi="Times New Roman" w:cs="Times New Roman"/>
          <w:sz w:val="24"/>
          <w:szCs w:val="24"/>
        </w:rPr>
        <w:t>of</w:t>
      </w:r>
      <w:proofErr w:type="spellEnd"/>
      <w:r w:rsidRPr="007B3DE7">
        <w:rPr>
          <w:rFonts w:ascii="Times New Roman" w:hAnsi="Times New Roman" w:cs="Times New Roman"/>
          <w:sz w:val="24"/>
          <w:szCs w:val="24"/>
        </w:rPr>
        <w:t xml:space="preserve"> </w:t>
      </w:r>
      <w:proofErr w:type="spellStart"/>
      <w:r w:rsidRPr="007B3DE7">
        <w:rPr>
          <w:rFonts w:ascii="Times New Roman" w:hAnsi="Times New Roman" w:cs="Times New Roman"/>
          <w:sz w:val="24"/>
          <w:szCs w:val="24"/>
        </w:rPr>
        <w:t>power</w:t>
      </w:r>
      <w:proofErr w:type="spellEnd"/>
      <w:r w:rsidRPr="007B3DE7">
        <w:rPr>
          <w:rFonts w:ascii="Times New Roman" w:hAnsi="Times New Roman" w:cs="Times New Roman"/>
          <w:sz w:val="24"/>
          <w:szCs w:val="24"/>
        </w:rPr>
        <w:t xml:space="preserve">, </w:t>
      </w:r>
      <w:proofErr w:type="spellStart"/>
      <w:r w:rsidRPr="007B3DE7">
        <w:rPr>
          <w:rFonts w:ascii="Times New Roman" w:hAnsi="Times New Roman" w:cs="Times New Roman"/>
          <w:sz w:val="24"/>
          <w:szCs w:val="24"/>
        </w:rPr>
        <w:t>oppression</w:t>
      </w:r>
      <w:proofErr w:type="spellEnd"/>
      <w:r w:rsidRPr="007B3DE7">
        <w:rPr>
          <w:rFonts w:ascii="Times New Roman" w:hAnsi="Times New Roman" w:cs="Times New Roman"/>
          <w:sz w:val="24"/>
          <w:szCs w:val="24"/>
        </w:rPr>
        <w:t xml:space="preserve"> and </w:t>
      </w:r>
      <w:proofErr w:type="spellStart"/>
      <w:r w:rsidRPr="007B3DE7">
        <w:rPr>
          <w:rFonts w:ascii="Times New Roman" w:hAnsi="Times New Roman" w:cs="Times New Roman"/>
          <w:sz w:val="24"/>
          <w:szCs w:val="24"/>
        </w:rPr>
        <w:t>war</w:t>
      </w:r>
      <w:proofErr w:type="spellEnd"/>
      <w:r w:rsidRPr="007B3DE7">
        <w:rPr>
          <w:rFonts w:ascii="Times New Roman" w:hAnsi="Times New Roman" w:cs="Times New Roman"/>
          <w:sz w:val="24"/>
          <w:szCs w:val="24"/>
        </w:rPr>
        <w:t xml:space="preserve">, </w:t>
      </w:r>
      <w:proofErr w:type="spellStart"/>
      <w:r w:rsidRPr="007B3DE7">
        <w:rPr>
          <w:rFonts w:ascii="Times New Roman" w:hAnsi="Times New Roman" w:cs="Times New Roman"/>
          <w:sz w:val="24"/>
          <w:szCs w:val="24"/>
        </w:rPr>
        <w:t>from</w:t>
      </w:r>
      <w:proofErr w:type="spellEnd"/>
      <w:r w:rsidRPr="007B3DE7">
        <w:rPr>
          <w:rFonts w:ascii="Times New Roman" w:hAnsi="Times New Roman" w:cs="Times New Roman"/>
          <w:sz w:val="24"/>
          <w:szCs w:val="24"/>
        </w:rPr>
        <w:t xml:space="preserve"> </w:t>
      </w:r>
      <w:proofErr w:type="spellStart"/>
      <w:r w:rsidRPr="007B3DE7">
        <w:rPr>
          <w:rFonts w:ascii="Times New Roman" w:hAnsi="Times New Roman" w:cs="Times New Roman"/>
          <w:sz w:val="24"/>
          <w:szCs w:val="24"/>
        </w:rPr>
        <w:t>the</w:t>
      </w:r>
      <w:proofErr w:type="spellEnd"/>
      <w:r w:rsidRPr="007B3DE7">
        <w:rPr>
          <w:rFonts w:ascii="Times New Roman" w:hAnsi="Times New Roman" w:cs="Times New Roman"/>
          <w:sz w:val="24"/>
          <w:szCs w:val="24"/>
        </w:rPr>
        <w:t xml:space="preserve"> </w:t>
      </w:r>
      <w:proofErr w:type="spellStart"/>
      <w:r w:rsidRPr="007B3DE7">
        <w:rPr>
          <w:rFonts w:ascii="Times New Roman" w:hAnsi="Times New Roman" w:cs="Times New Roman"/>
          <w:sz w:val="24"/>
          <w:szCs w:val="24"/>
        </w:rPr>
        <w:t>artist´s</w:t>
      </w:r>
      <w:proofErr w:type="spellEnd"/>
      <w:r w:rsidRPr="007B3DE7">
        <w:rPr>
          <w:rFonts w:ascii="Times New Roman" w:hAnsi="Times New Roman" w:cs="Times New Roman"/>
          <w:sz w:val="24"/>
          <w:szCs w:val="24"/>
        </w:rPr>
        <w:t xml:space="preserve"> </w:t>
      </w:r>
      <w:proofErr w:type="spellStart"/>
      <w:r w:rsidRPr="007B3DE7">
        <w:rPr>
          <w:rFonts w:ascii="Times New Roman" w:hAnsi="Times New Roman" w:cs="Times New Roman"/>
          <w:sz w:val="24"/>
          <w:szCs w:val="24"/>
        </w:rPr>
        <w:t>life</w:t>
      </w:r>
      <w:proofErr w:type="spellEnd"/>
      <w:r w:rsidRPr="007B3DE7">
        <w:rPr>
          <w:rFonts w:ascii="Times New Roman" w:hAnsi="Times New Roman" w:cs="Times New Roman"/>
          <w:sz w:val="24"/>
          <w:szCs w:val="24"/>
        </w:rPr>
        <w:t xml:space="preserve">», Herald </w:t>
      </w:r>
      <w:proofErr w:type="spellStart"/>
      <w:r w:rsidRPr="007B3DE7">
        <w:rPr>
          <w:rFonts w:ascii="Times New Roman" w:hAnsi="Times New Roman" w:cs="Times New Roman"/>
          <w:sz w:val="24"/>
          <w:szCs w:val="24"/>
        </w:rPr>
        <w:t>Journal</w:t>
      </w:r>
      <w:proofErr w:type="spellEnd"/>
      <w:r w:rsidRPr="007B3DE7">
        <w:rPr>
          <w:rFonts w:ascii="Times New Roman" w:hAnsi="Times New Roman" w:cs="Times New Roman"/>
          <w:sz w:val="24"/>
          <w:szCs w:val="24"/>
        </w:rPr>
        <w:t>, N. York, EE. UU., mayo de 1993).</w:t>
      </w:r>
    </w:p>
    <w:p w14:paraId="3D2CBAA3" w14:textId="7777777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sz w:val="24"/>
          <w:szCs w:val="24"/>
        </w:rPr>
        <w:t xml:space="preserve">En Argentina realiza importantes muestras individuales en Espacio Modos (2018), Pabellón de las artes de la Univ. Católica (U.C.A., 2014), en Galería Palatina (“Inestabilidad </w:t>
      </w:r>
      <w:proofErr w:type="spellStart"/>
      <w:r w:rsidRPr="007B3DE7">
        <w:rPr>
          <w:rFonts w:ascii="Times New Roman" w:hAnsi="Times New Roman" w:cs="Times New Roman"/>
          <w:sz w:val="24"/>
          <w:szCs w:val="24"/>
        </w:rPr>
        <w:t>yTemblor</w:t>
      </w:r>
      <w:proofErr w:type="spellEnd"/>
      <w:r w:rsidRPr="007B3DE7">
        <w:rPr>
          <w:rFonts w:ascii="Times New Roman" w:hAnsi="Times New Roman" w:cs="Times New Roman"/>
          <w:sz w:val="24"/>
          <w:szCs w:val="24"/>
        </w:rPr>
        <w:t xml:space="preserve">”, 2008), </w:t>
      </w:r>
      <w:proofErr w:type="spellStart"/>
      <w:r w:rsidRPr="007B3DE7">
        <w:rPr>
          <w:rFonts w:ascii="Times New Roman" w:hAnsi="Times New Roman" w:cs="Times New Roman"/>
          <w:sz w:val="24"/>
          <w:szCs w:val="24"/>
        </w:rPr>
        <w:t>C.</w:t>
      </w:r>
      <w:proofErr w:type="gramStart"/>
      <w:r w:rsidRPr="007B3DE7">
        <w:rPr>
          <w:rFonts w:ascii="Times New Roman" w:hAnsi="Times New Roman" w:cs="Times New Roman"/>
          <w:sz w:val="24"/>
          <w:szCs w:val="24"/>
        </w:rPr>
        <w:t>C.Recoleta</w:t>
      </w:r>
      <w:proofErr w:type="spellEnd"/>
      <w:proofErr w:type="gramEnd"/>
      <w:r w:rsidRPr="007B3DE7">
        <w:rPr>
          <w:rFonts w:ascii="Times New Roman" w:hAnsi="Times New Roman" w:cs="Times New Roman"/>
          <w:sz w:val="24"/>
          <w:szCs w:val="24"/>
        </w:rPr>
        <w:t xml:space="preserve"> (“Figuras y Fantasmas”, Sala “J”, 2004), Casa de Gobierno de la Rep. Argentina (2005), Galería Sylvia </w:t>
      </w:r>
      <w:proofErr w:type="spellStart"/>
      <w:r w:rsidRPr="007B3DE7">
        <w:rPr>
          <w:rFonts w:ascii="Times New Roman" w:hAnsi="Times New Roman" w:cs="Times New Roman"/>
          <w:sz w:val="24"/>
          <w:szCs w:val="24"/>
        </w:rPr>
        <w:t>Vesco</w:t>
      </w:r>
      <w:proofErr w:type="spellEnd"/>
      <w:r w:rsidRPr="007B3DE7">
        <w:rPr>
          <w:rFonts w:ascii="Times New Roman" w:hAnsi="Times New Roman" w:cs="Times New Roman"/>
          <w:sz w:val="24"/>
          <w:szCs w:val="24"/>
        </w:rPr>
        <w:t xml:space="preserve"> (2001), Museo de Arte Moderno (1996), «Arte x Artistas» (Museo de Arte Moderno, 1990), entre otras.</w:t>
      </w:r>
    </w:p>
    <w:p w14:paraId="7800CAAA" w14:textId="77777777" w:rsidR="007B3DE7" w:rsidRPr="007B3DE7" w:rsidRDefault="007B3DE7" w:rsidP="007B3DE7">
      <w:pPr>
        <w:rPr>
          <w:rFonts w:ascii="Times New Roman" w:hAnsi="Times New Roman" w:cs="Times New Roman"/>
          <w:sz w:val="24"/>
          <w:szCs w:val="24"/>
        </w:rPr>
      </w:pPr>
      <w:r w:rsidRPr="007B3DE7">
        <w:rPr>
          <w:rFonts w:ascii="Times New Roman" w:hAnsi="Times New Roman" w:cs="Times New Roman"/>
          <w:sz w:val="24"/>
          <w:szCs w:val="24"/>
        </w:rPr>
        <w:t>Ha publicado un libro sobre su obra «</w:t>
      </w:r>
      <w:hyperlink r:id="rId7" w:history="1">
        <w:r w:rsidRPr="007B3DE7">
          <w:rPr>
            <w:rStyle w:val="Hipervnculo"/>
            <w:rFonts w:ascii="Times New Roman" w:hAnsi="Times New Roman" w:cs="Times New Roman"/>
            <w:b/>
            <w:bCs/>
            <w:sz w:val="24"/>
            <w:szCs w:val="24"/>
          </w:rPr>
          <w:t xml:space="preserve">Antología de </w:t>
        </w:r>
        <w:proofErr w:type="gramStart"/>
        <w:r w:rsidRPr="007B3DE7">
          <w:rPr>
            <w:rStyle w:val="Hipervnculo"/>
            <w:rFonts w:ascii="Times New Roman" w:hAnsi="Times New Roman" w:cs="Times New Roman"/>
            <w:b/>
            <w:bCs/>
            <w:sz w:val="24"/>
            <w:szCs w:val="24"/>
          </w:rPr>
          <w:t>Obra</w:t>
        </w:r>
        <w:r w:rsidRPr="007B3DE7">
          <w:rPr>
            <w:rStyle w:val="Hipervnculo"/>
            <w:rFonts w:ascii="Times New Roman" w:hAnsi="Times New Roman" w:cs="Times New Roman"/>
            <w:sz w:val="24"/>
            <w:szCs w:val="24"/>
          </w:rPr>
          <w:t>«</w:t>
        </w:r>
        <w:proofErr w:type="gramEnd"/>
      </w:hyperlink>
      <w:r w:rsidRPr="007B3DE7">
        <w:rPr>
          <w:rFonts w:ascii="Times New Roman" w:hAnsi="Times New Roman" w:cs="Times New Roman"/>
          <w:sz w:val="24"/>
          <w:szCs w:val="24"/>
        </w:rPr>
        <w:t xml:space="preserve"> (Ed. </w:t>
      </w:r>
      <w:proofErr w:type="spellStart"/>
      <w:r w:rsidRPr="007B3DE7">
        <w:rPr>
          <w:rFonts w:ascii="Times New Roman" w:hAnsi="Times New Roman" w:cs="Times New Roman"/>
          <w:sz w:val="24"/>
          <w:szCs w:val="24"/>
        </w:rPr>
        <w:t>Fund</w:t>
      </w:r>
      <w:proofErr w:type="spellEnd"/>
      <w:r w:rsidRPr="007B3DE7">
        <w:rPr>
          <w:rFonts w:ascii="Times New Roman" w:hAnsi="Times New Roman" w:cs="Times New Roman"/>
          <w:sz w:val="24"/>
          <w:szCs w:val="24"/>
        </w:rPr>
        <w:t xml:space="preserve">. </w:t>
      </w:r>
      <w:proofErr w:type="spellStart"/>
      <w:r w:rsidRPr="007B3DE7">
        <w:rPr>
          <w:rFonts w:ascii="Times New Roman" w:hAnsi="Times New Roman" w:cs="Times New Roman"/>
          <w:sz w:val="24"/>
          <w:szCs w:val="24"/>
        </w:rPr>
        <w:t>Vittal</w:t>
      </w:r>
      <w:proofErr w:type="spellEnd"/>
      <w:r w:rsidRPr="007B3DE7">
        <w:rPr>
          <w:rFonts w:ascii="Times New Roman" w:hAnsi="Times New Roman" w:cs="Times New Roman"/>
          <w:sz w:val="24"/>
          <w:szCs w:val="24"/>
        </w:rPr>
        <w:t>, 2017); un ensayo </w:t>
      </w:r>
      <w:hyperlink r:id="rId8" w:history="1">
        <w:r w:rsidRPr="007B3DE7">
          <w:rPr>
            <w:rStyle w:val="Hipervnculo"/>
            <w:rFonts w:ascii="Times New Roman" w:hAnsi="Times New Roman" w:cs="Times New Roman"/>
            <w:sz w:val="24"/>
            <w:szCs w:val="24"/>
          </w:rPr>
          <w:t>«</w:t>
        </w:r>
        <w:r w:rsidRPr="007B3DE7">
          <w:rPr>
            <w:rStyle w:val="Hipervnculo"/>
            <w:rFonts w:ascii="Times New Roman" w:hAnsi="Times New Roman" w:cs="Times New Roman"/>
            <w:b/>
            <w:bCs/>
            <w:sz w:val="24"/>
            <w:szCs w:val="24"/>
          </w:rPr>
          <w:t xml:space="preserve">Dimensiones de la presencia. La Pintura y el Discurso de la muerte del </w:t>
        </w:r>
        <w:proofErr w:type="gramStart"/>
        <w:r w:rsidRPr="007B3DE7">
          <w:rPr>
            <w:rStyle w:val="Hipervnculo"/>
            <w:rFonts w:ascii="Times New Roman" w:hAnsi="Times New Roman" w:cs="Times New Roman"/>
            <w:b/>
            <w:bCs/>
            <w:sz w:val="24"/>
            <w:szCs w:val="24"/>
          </w:rPr>
          <w:t>arte</w:t>
        </w:r>
        <w:r w:rsidRPr="007B3DE7">
          <w:rPr>
            <w:rStyle w:val="Hipervnculo"/>
            <w:rFonts w:ascii="Times New Roman" w:hAnsi="Times New Roman" w:cs="Times New Roman"/>
            <w:sz w:val="24"/>
            <w:szCs w:val="24"/>
          </w:rPr>
          <w:t>«</w:t>
        </w:r>
        <w:proofErr w:type="gramEnd"/>
      </w:hyperlink>
      <w:r w:rsidRPr="007B3DE7">
        <w:rPr>
          <w:rFonts w:ascii="Times New Roman" w:hAnsi="Times New Roman" w:cs="Times New Roman"/>
          <w:sz w:val="24"/>
          <w:szCs w:val="24"/>
        </w:rPr>
        <w:t> (Ed. Letra Viva, </w:t>
      </w:r>
      <w:hyperlink r:id="rId9" w:history="1">
        <w:r w:rsidRPr="007B3DE7">
          <w:rPr>
            <w:rStyle w:val="Hipervnculo"/>
            <w:rFonts w:ascii="Times New Roman" w:hAnsi="Times New Roman" w:cs="Times New Roman"/>
            <w:sz w:val="24"/>
            <w:szCs w:val="24"/>
          </w:rPr>
          <w:t>2017</w:t>
        </w:r>
      </w:hyperlink>
      <w:r w:rsidRPr="007B3DE7">
        <w:rPr>
          <w:rFonts w:ascii="Times New Roman" w:hAnsi="Times New Roman" w:cs="Times New Roman"/>
          <w:sz w:val="24"/>
          <w:szCs w:val="24"/>
        </w:rPr>
        <w:t>), y otros textos sobre arte, filosofía y psicoanálisis.</w:t>
      </w:r>
    </w:p>
    <w:p w14:paraId="556DBB57" w14:textId="77777777" w:rsidR="00B1035B" w:rsidRPr="007B3DE7" w:rsidRDefault="00B1035B">
      <w:pPr>
        <w:rPr>
          <w:rFonts w:ascii="Times New Roman" w:hAnsi="Times New Roman" w:cs="Times New Roman"/>
          <w:sz w:val="24"/>
          <w:szCs w:val="24"/>
        </w:rPr>
      </w:pPr>
    </w:p>
    <w:sectPr w:rsidR="00B1035B" w:rsidRPr="007B3DE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DE7"/>
    <w:rsid w:val="007B3DE7"/>
    <w:rsid w:val="009D496A"/>
    <w:rsid w:val="00B1035B"/>
    <w:rsid w:val="00CB53C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868E5"/>
  <w15:chartTrackingRefBased/>
  <w15:docId w15:val="{D5FE9735-AAC9-4D01-B810-EA11191AE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B3D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B3D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B3DE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B3DE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B3DE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B3DE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B3DE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B3DE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B3DE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3DE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B3DE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B3DE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B3DE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B3DE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B3DE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B3DE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B3DE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B3DE7"/>
    <w:rPr>
      <w:rFonts w:eastAsiaTheme="majorEastAsia" w:cstheme="majorBidi"/>
      <w:color w:val="272727" w:themeColor="text1" w:themeTint="D8"/>
    </w:rPr>
  </w:style>
  <w:style w:type="paragraph" w:styleId="Ttulo">
    <w:name w:val="Title"/>
    <w:basedOn w:val="Normal"/>
    <w:next w:val="Normal"/>
    <w:link w:val="TtuloCar"/>
    <w:uiPriority w:val="10"/>
    <w:qFormat/>
    <w:rsid w:val="007B3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B3DE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B3DE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B3DE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B3DE7"/>
    <w:pPr>
      <w:spacing w:before="160"/>
      <w:jc w:val="center"/>
    </w:pPr>
    <w:rPr>
      <w:i/>
      <w:iCs/>
      <w:color w:val="404040" w:themeColor="text1" w:themeTint="BF"/>
    </w:rPr>
  </w:style>
  <w:style w:type="character" w:customStyle="1" w:styleId="CitaCar">
    <w:name w:val="Cita Car"/>
    <w:basedOn w:val="Fuentedeprrafopredeter"/>
    <w:link w:val="Cita"/>
    <w:uiPriority w:val="29"/>
    <w:rsid w:val="007B3DE7"/>
    <w:rPr>
      <w:i/>
      <w:iCs/>
      <w:color w:val="404040" w:themeColor="text1" w:themeTint="BF"/>
    </w:rPr>
  </w:style>
  <w:style w:type="paragraph" w:styleId="Prrafodelista">
    <w:name w:val="List Paragraph"/>
    <w:basedOn w:val="Normal"/>
    <w:uiPriority w:val="34"/>
    <w:qFormat/>
    <w:rsid w:val="007B3DE7"/>
    <w:pPr>
      <w:ind w:left="720"/>
      <w:contextualSpacing/>
    </w:pPr>
  </w:style>
  <w:style w:type="character" w:styleId="nfasisintenso">
    <w:name w:val="Intense Emphasis"/>
    <w:basedOn w:val="Fuentedeprrafopredeter"/>
    <w:uiPriority w:val="21"/>
    <w:qFormat/>
    <w:rsid w:val="007B3DE7"/>
    <w:rPr>
      <w:i/>
      <w:iCs/>
      <w:color w:val="2F5496" w:themeColor="accent1" w:themeShade="BF"/>
    </w:rPr>
  </w:style>
  <w:style w:type="paragraph" w:styleId="Citadestacada">
    <w:name w:val="Intense Quote"/>
    <w:basedOn w:val="Normal"/>
    <w:next w:val="Normal"/>
    <w:link w:val="CitadestacadaCar"/>
    <w:uiPriority w:val="30"/>
    <w:qFormat/>
    <w:rsid w:val="007B3D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B3DE7"/>
    <w:rPr>
      <w:i/>
      <w:iCs/>
      <w:color w:val="2F5496" w:themeColor="accent1" w:themeShade="BF"/>
    </w:rPr>
  </w:style>
  <w:style w:type="character" w:styleId="Referenciaintensa">
    <w:name w:val="Intense Reference"/>
    <w:basedOn w:val="Fuentedeprrafopredeter"/>
    <w:uiPriority w:val="32"/>
    <w:qFormat/>
    <w:rsid w:val="007B3DE7"/>
    <w:rPr>
      <w:b/>
      <w:bCs/>
      <w:smallCaps/>
      <w:color w:val="2F5496" w:themeColor="accent1" w:themeShade="BF"/>
      <w:spacing w:val="5"/>
    </w:rPr>
  </w:style>
  <w:style w:type="character" w:styleId="Hipervnculo">
    <w:name w:val="Hyperlink"/>
    <w:basedOn w:val="Fuentedeprrafopredeter"/>
    <w:uiPriority w:val="99"/>
    <w:unhideWhenUsed/>
    <w:rsid w:val="007B3DE7"/>
    <w:rPr>
      <w:color w:val="0563C1" w:themeColor="hyperlink"/>
      <w:u w:val="single"/>
    </w:rPr>
  </w:style>
  <w:style w:type="character" w:styleId="Mencinsinresolver">
    <w:name w:val="Unresolved Mention"/>
    <w:basedOn w:val="Fuentedeprrafopredeter"/>
    <w:uiPriority w:val="99"/>
    <w:semiHidden/>
    <w:unhideWhenUsed/>
    <w:rsid w:val="007B3D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2d13d69-698a-7c1d-d448-ec07b9610627.filesusr.com/ugd/d9a567_f9680e8c0fff4b739de397da9261306c.pdf" TargetMode="External"/><Relationship Id="rId3" Type="http://schemas.openxmlformats.org/officeDocument/2006/relationships/webSettings" Target="webSettings.xml"/><Relationship Id="rId7" Type="http://schemas.openxmlformats.org/officeDocument/2006/relationships/hyperlink" Target="https://gargano4.wixsite.com/gargano/libro-20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argano4.wixsite.com/gargano/mural-ceramico" TargetMode="External"/><Relationship Id="rId11" Type="http://schemas.openxmlformats.org/officeDocument/2006/relationships/theme" Target="theme/theme1.xml"/><Relationship Id="rId5" Type="http://schemas.openxmlformats.org/officeDocument/2006/relationships/hyperlink" Target="https://drive.google.com/file/d/1G8k5uTDUss3TQ78jMzQN7zj6r8eRKqWv/view" TargetMode="External"/><Relationship Id="rId10" Type="http://schemas.openxmlformats.org/officeDocument/2006/relationships/fontTable" Target="fontTable.xml"/><Relationship Id="rId4" Type="http://schemas.openxmlformats.org/officeDocument/2006/relationships/hyperlink" Target="http://andresare.eusko-ikaskuntza.org/index.php/es/recursos-documentales/biografia/aldaburu-echaguibel-ana" TargetMode="External"/><Relationship Id="rId9" Type="http://schemas.openxmlformats.org/officeDocument/2006/relationships/hyperlink" Target="https://letravivalibros.publica.la/library/publication/dimensiones-de-la-presenc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868</Words>
  <Characters>4620</Characters>
  <Application>Microsoft Office Word</Application>
  <DocSecurity>0</DocSecurity>
  <Lines>177</Lines>
  <Paragraphs>54</Paragraphs>
  <ScaleCrop>false</ScaleCrop>
  <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G. Mendiola</dc:creator>
  <cp:keywords/>
  <dc:description/>
  <cp:lastModifiedBy>Marcelo G. Mendiola</cp:lastModifiedBy>
  <cp:revision>1</cp:revision>
  <dcterms:created xsi:type="dcterms:W3CDTF">2025-11-02T13:08:00Z</dcterms:created>
  <dcterms:modified xsi:type="dcterms:W3CDTF">2025-11-02T13:11:00Z</dcterms:modified>
</cp:coreProperties>
</file>